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ЗАЧИНЯЕВ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МАКСИМ СЕРГЕЕВИЧ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11 февраля 1986 года в городе Усман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ь.</w:t>
      </w:r>
      <w:r>
        <w:rPr>
          <w:rFonts w:cs="Times New Roman" w:ascii="Times New Roman" w:hAnsi="Times New Roman"/>
          <w:sz w:val="28"/>
          <w:szCs w:val="28"/>
        </w:rPr>
        <w:t xml:space="preserve">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sz w:val="28"/>
          <w:szCs w:val="28"/>
        </w:rPr>
        <w:t>, окончил Государственное образовательное учреждение высшего профессионального образования «Российский государственный гуманитарный университет» в 2011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ИП Зачиняев Максим Сергеевич.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bidi w:val="0"/>
        <w:jc w:val="both"/>
        <w:rPr>
          <w:rFonts w:ascii="Calibri" w:hAnsi="Calibri"/>
          <w:b w:val="false"/>
          <w:i w:val="false"/>
          <w:i w:val="false"/>
          <w:strike w:val="false"/>
          <w:dstrike w:val="false"/>
          <w:outline w:val="false"/>
          <w:shadow w:val="false"/>
          <w:sz w:val="18"/>
          <w:u w:val="none"/>
          <w:em w:val="none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   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П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латонова С.В.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, Публичное акционерное общество «Совкомбанк»,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М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осковский филиал  Открытого акционерного общества"Компания БКС"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- 1 667416,86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земельный участок, Липецкая область, 1433 кв.м.;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жилой дом, Липецкая область, 149,6 кв.м., 18/20 доля.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единицы: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автомобиль легковой — Киа Карневал, 2021 г.в.;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прицеп - 718725, 2019 г.в..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 счета, на общую сумму — 40055,96 руб.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ВЫЯВЛЕННЫЕ ФАКТЫ 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jc w:val="both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 счет в Акционерном обществе "Альфа-Банк" с остатком 0,00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5 счетов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Публичном акционерном обществе Банк ВТБ с общим остатком 0,00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6 счетов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кционерное общество "БКС Банк"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с общим остатком 473,8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1 счет в Публичном акционерном обществе</w:t>
      </w:r>
      <w:r>
        <w:rPr>
          <w:rFonts w:ascii="Times New Roman" w:hAnsi="Times New Roman"/>
          <w:color w:val="000000"/>
          <w:sz w:val="28"/>
          <w:szCs w:val="28"/>
        </w:rPr>
        <w:t xml:space="preserve"> "Московский Кредитный Банк"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с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Акционерном обществе 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Тбанк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» с общим остатком 5741,71 руб. </w:t>
      </w:r>
      <w:r>
        <w:rPr>
          <w:rFonts w:cs="Times New Roman" w:ascii="Times New Roman" w:hAnsi="Times New Roman"/>
          <w:color w:val="000000"/>
          <w:sz w:val="28"/>
          <w:szCs w:val="28"/>
        </w:rPr>
        <w:t>(сведения представлены банком).</w:t>
      </w:r>
    </w:p>
    <w:p>
      <w:pPr>
        <w:pStyle w:val="Normal"/>
        <w:spacing w:lineRule="auto" w:line="276" w:before="0" w:after="160"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ценные бумаги: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убличное акционерное общество «Аэрофлот - российские авиалинии», обыкновенные акции, 10 шт., 1,00 руб.;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Публичное акционерное общество «Новолипецкий металлургический комбинат», акции, 500 шт., 1,00 руб.;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Публичное акционерное общество «Сбербанк России», обыкновенные акции, 10 шт., 3,00 руб.;</w:t>
      </w:r>
    </w:p>
    <w:p>
      <w:pPr>
        <w:pStyle w:val="Normal"/>
        <w:spacing w:before="0" w:after="160"/>
        <w:ind w:firstLine="709"/>
        <w:jc w:val="both"/>
        <w:rPr>
          <w:color w:val="FF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Международная компания публичное акционерное общество «ЯНДЕКС», акция,1 шт., 0,40 руб. </w:t>
      </w:r>
      <w:r>
        <w:rPr>
          <w:rFonts w:cs="Times New Roman" w:ascii="Times New Roman" w:hAnsi="Times New Roman"/>
          <w:color w:val="000000"/>
          <w:sz w:val="28"/>
          <w:szCs w:val="28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Application>LibreOffice/7.5.1.2$Windows_X86_64 LibreOffice_project/fcbaee479e84c6cd81291587d2ee68cba099e129</Application>
  <AppVersion>15.0000</AppVersion>
  <Pages>2</Pages>
  <Words>279</Words>
  <Characters>1929</Characters>
  <CharactersWithSpaces>2190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cp:lastPrinted>2025-08-20T13:46:35Z</cp:lastPrinted>
  <dcterms:modified xsi:type="dcterms:W3CDTF">2025-09-05T16:28:41Z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